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88" w:rsidRPr="00986D36" w:rsidRDefault="00283E88" w:rsidP="00986D36">
      <w:pPr>
        <w:jc w:val="center"/>
        <w:rPr>
          <w:sz w:val="24"/>
          <w:szCs w:val="32"/>
        </w:rPr>
      </w:pPr>
      <w:r w:rsidRPr="00986D36">
        <w:rPr>
          <w:rFonts w:hint="eastAsia"/>
          <w:sz w:val="24"/>
          <w:szCs w:val="32"/>
        </w:rPr>
        <w:t>「マジイイ☆子育てワークスタイル推進企業宣言」申請書</w:t>
      </w:r>
    </w:p>
    <w:p w:rsidR="00283E88" w:rsidRDefault="00283E88" w:rsidP="00283E88"/>
    <w:p w:rsidR="00283E88" w:rsidRDefault="00283E88" w:rsidP="00986D36">
      <w:pPr>
        <w:jc w:val="right"/>
      </w:pPr>
      <w:r>
        <w:rPr>
          <w:rFonts w:hint="eastAsia"/>
        </w:rPr>
        <w:t>令和　　年　　月　　日</w:t>
      </w:r>
    </w:p>
    <w:p w:rsidR="00283E88" w:rsidRPr="00283E88" w:rsidRDefault="00283E88"/>
    <w:p w:rsidR="00283E88" w:rsidRPr="00E23C13" w:rsidRDefault="00283E88" w:rsidP="00283E88">
      <w:pPr>
        <w:ind w:firstLineChars="200" w:firstLine="440"/>
        <w:rPr>
          <w:rFonts w:asciiTheme="minorEastAsia" w:hAnsiTheme="minorEastAsia"/>
          <w:sz w:val="22"/>
        </w:rPr>
      </w:pPr>
      <w:r w:rsidRPr="00E23C13">
        <w:rPr>
          <w:rFonts w:asciiTheme="minorEastAsia" w:hAnsiTheme="minorEastAsia" w:hint="eastAsia"/>
          <w:sz w:val="22"/>
        </w:rPr>
        <w:t>（宛先）飯島町長</w:t>
      </w:r>
    </w:p>
    <w:p w:rsidR="00283E88" w:rsidRDefault="00283E88"/>
    <w:p w:rsidR="00986D36" w:rsidRDefault="00986D36"/>
    <w:p w:rsidR="00986D36" w:rsidRDefault="00986D36" w:rsidP="004031AE">
      <w:pPr>
        <w:spacing w:line="276" w:lineRule="auto"/>
        <w:ind w:leftChars="2400" w:left="5040"/>
        <w:rPr>
          <w:u w:val="single"/>
        </w:rPr>
      </w:pPr>
      <w:r>
        <w:rPr>
          <w:rFonts w:hint="eastAsia"/>
        </w:rPr>
        <w:t xml:space="preserve">申請者　　</w:t>
      </w:r>
      <w:r w:rsidRPr="00A81E7E">
        <w:rPr>
          <w:rFonts w:hint="eastAsia"/>
          <w:u w:val="single"/>
        </w:rPr>
        <w:t>住所</w:t>
      </w:r>
      <w:r w:rsidR="00A81E7E" w:rsidRPr="00A81E7E">
        <w:rPr>
          <w:rFonts w:hint="eastAsia"/>
          <w:u w:val="single"/>
        </w:rPr>
        <w:tab/>
      </w:r>
      <w:r w:rsidR="00A81E7E" w:rsidRPr="00A81E7E">
        <w:rPr>
          <w:rFonts w:hint="eastAsia"/>
          <w:u w:val="single"/>
        </w:rPr>
        <w:tab/>
      </w:r>
      <w:r w:rsidR="00A81E7E" w:rsidRPr="00A81E7E">
        <w:rPr>
          <w:rFonts w:hint="eastAsia"/>
          <w:u w:val="single"/>
        </w:rPr>
        <w:tab/>
      </w:r>
      <w:r w:rsidR="00A81E7E" w:rsidRPr="00A81E7E">
        <w:rPr>
          <w:rFonts w:hint="eastAsia"/>
          <w:u w:val="single"/>
        </w:rPr>
        <w:tab/>
      </w:r>
      <w:r w:rsidR="00A81E7E">
        <w:rPr>
          <w:rFonts w:hint="eastAsia"/>
          <w:u w:val="single"/>
        </w:rPr>
        <w:t xml:space="preserve">　</w:t>
      </w:r>
    </w:p>
    <w:p w:rsidR="004A59EE" w:rsidRPr="00A81E7E" w:rsidRDefault="004A59EE" w:rsidP="004031AE">
      <w:pPr>
        <w:spacing w:line="276" w:lineRule="auto"/>
        <w:ind w:leftChars="2400" w:left="5040"/>
        <w:rPr>
          <w:u w:val="single"/>
        </w:rPr>
      </w:pPr>
      <w:r>
        <w:rPr>
          <w:rFonts w:hint="eastAsia"/>
        </w:rPr>
        <w:t xml:space="preserve">　　　　　</w:t>
      </w:r>
      <w:r>
        <w:rPr>
          <w:rFonts w:hint="eastAsia"/>
          <w:u w:val="single"/>
        </w:rPr>
        <w:t>連絡先</w:t>
      </w:r>
      <w:r w:rsidRPr="00A81E7E">
        <w:rPr>
          <w:rFonts w:hint="eastAsia"/>
          <w:u w:val="single"/>
        </w:rPr>
        <w:tab/>
      </w:r>
      <w:r w:rsidRPr="00A81E7E">
        <w:rPr>
          <w:rFonts w:hint="eastAsia"/>
          <w:u w:val="single"/>
        </w:rPr>
        <w:tab/>
      </w:r>
      <w:r w:rsidRPr="00A81E7E">
        <w:rPr>
          <w:rFonts w:hint="eastAsia"/>
          <w:u w:val="single"/>
        </w:rPr>
        <w:tab/>
      </w:r>
      <w:r>
        <w:rPr>
          <w:rFonts w:hint="eastAsia"/>
          <w:u w:val="single"/>
        </w:rPr>
        <w:t xml:space="preserve">　</w:t>
      </w:r>
    </w:p>
    <w:p w:rsidR="00986D36" w:rsidRPr="00A81E7E" w:rsidRDefault="00986D36" w:rsidP="00766552">
      <w:pPr>
        <w:spacing w:line="276" w:lineRule="auto"/>
        <w:ind w:leftChars="2400" w:left="5040"/>
        <w:rPr>
          <w:u w:val="single"/>
        </w:rPr>
      </w:pPr>
      <w:r>
        <w:rPr>
          <w:rFonts w:hint="eastAsia"/>
        </w:rPr>
        <w:t xml:space="preserve">　　　　　</w:t>
      </w:r>
      <w:r w:rsidRPr="00A81E7E">
        <w:rPr>
          <w:rFonts w:hint="eastAsia"/>
          <w:u w:val="single"/>
        </w:rPr>
        <w:t>事業所名</w:t>
      </w:r>
      <w:r w:rsidR="00A81E7E" w:rsidRPr="00A81E7E">
        <w:rPr>
          <w:rFonts w:hint="eastAsia"/>
          <w:u w:val="single"/>
        </w:rPr>
        <w:tab/>
      </w:r>
      <w:r w:rsidR="00A81E7E" w:rsidRPr="00A81E7E">
        <w:rPr>
          <w:rFonts w:hint="eastAsia"/>
          <w:u w:val="single"/>
        </w:rPr>
        <w:tab/>
      </w:r>
      <w:r w:rsidR="00A81E7E" w:rsidRPr="00A81E7E">
        <w:rPr>
          <w:rFonts w:hint="eastAsia"/>
          <w:u w:val="single"/>
        </w:rPr>
        <w:tab/>
      </w:r>
      <w:r w:rsidR="00766552">
        <w:rPr>
          <w:rFonts w:hint="eastAsia"/>
          <w:u w:val="single"/>
        </w:rPr>
        <w:t xml:space="preserve">　</w:t>
      </w:r>
    </w:p>
    <w:p w:rsidR="00986D36" w:rsidRDefault="00986D36"/>
    <w:p w:rsidR="00A81E7E" w:rsidRDefault="00A81E7E"/>
    <w:p w:rsidR="00C20FEB" w:rsidRDefault="00C20FEB" w:rsidP="00C20FEB">
      <w:pPr>
        <w:ind w:firstLineChars="100" w:firstLine="210"/>
      </w:pPr>
      <w:r>
        <w:rPr>
          <w:rFonts w:hint="eastAsia"/>
        </w:rPr>
        <w:t>飯島町で推進している子育て世代の方々が仕事と子育てを両立しやすい、優しい職場環境を目指した事業所として、次の通り申請します。</w:t>
      </w:r>
    </w:p>
    <w:p w:rsidR="00A11674" w:rsidRDefault="00A11674"/>
    <w:tbl>
      <w:tblPr>
        <w:tblW w:w="9354"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551"/>
        <w:gridCol w:w="6803"/>
      </w:tblGrid>
      <w:tr w:rsidR="001A75B8" w:rsidRPr="001206D1" w:rsidTr="001A75B8">
        <w:trPr>
          <w:trHeight w:val="283"/>
          <w:jc w:val="center"/>
        </w:trPr>
        <w:tc>
          <w:tcPr>
            <w:tcW w:w="2551" w:type="dxa"/>
            <w:shd w:val="clear" w:color="auto" w:fill="auto"/>
            <w:noWrap/>
            <w:vAlign w:val="center"/>
            <w:hideMark/>
          </w:tcPr>
          <w:p w:rsidR="001A75B8" w:rsidRPr="00DC2606" w:rsidRDefault="001A75B8" w:rsidP="00624C4F">
            <w:pPr>
              <w:widowControl/>
              <w:jc w:val="center"/>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子育てに優しい企業活動</w:t>
            </w:r>
          </w:p>
        </w:tc>
        <w:tc>
          <w:tcPr>
            <w:tcW w:w="6803" w:type="dxa"/>
            <w:shd w:val="clear" w:color="auto" w:fill="auto"/>
            <w:noWrap/>
            <w:vAlign w:val="center"/>
            <w:hideMark/>
          </w:tcPr>
          <w:p w:rsidR="001A75B8" w:rsidRPr="00DC2606" w:rsidRDefault="001A75B8" w:rsidP="00624C4F">
            <w:pPr>
              <w:widowControl/>
              <w:jc w:val="center"/>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具体的な取組み内容</w:t>
            </w: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①短時間勤務（ワークタイムシフト）</w:t>
            </w:r>
          </w:p>
        </w:tc>
        <w:tc>
          <w:tcPr>
            <w:tcW w:w="6803" w:type="dxa"/>
            <w:shd w:val="clear" w:color="auto" w:fill="auto"/>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②フレックスタイム制度</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③育児目的休暇</w:t>
            </w:r>
          </w:p>
        </w:tc>
        <w:tc>
          <w:tcPr>
            <w:tcW w:w="6803" w:type="dxa"/>
            <w:shd w:val="clear" w:color="auto" w:fill="auto"/>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④離職者の再雇用制度</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⑤在宅勤務</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⑥男性の育児参加を促す取組</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624C4F">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⑦ハラスメント防止の取組</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r w:rsidR="001A75B8" w:rsidRPr="001206D1" w:rsidTr="001A75B8">
        <w:trPr>
          <w:trHeight w:val="850"/>
          <w:jc w:val="center"/>
        </w:trPr>
        <w:tc>
          <w:tcPr>
            <w:tcW w:w="2551" w:type="dxa"/>
            <w:shd w:val="clear" w:color="auto" w:fill="auto"/>
            <w:noWrap/>
            <w:vAlign w:val="center"/>
            <w:hideMark/>
          </w:tcPr>
          <w:p w:rsidR="001A75B8" w:rsidRPr="00DC2606" w:rsidRDefault="001A75B8" w:rsidP="003A1F62">
            <w:pPr>
              <w:widowControl/>
              <w:jc w:val="left"/>
              <w:rPr>
                <w:rFonts w:asciiTheme="minorEastAsia" w:eastAsiaTheme="minorEastAsia" w:hAnsiTheme="minorEastAsia" w:cs="ＭＳ Ｐゴシック"/>
                <w:color w:val="000000"/>
                <w:kern w:val="0"/>
                <w:szCs w:val="21"/>
              </w:rPr>
            </w:pPr>
            <w:r w:rsidRPr="00DC2606">
              <w:rPr>
                <w:rFonts w:asciiTheme="minorEastAsia" w:eastAsiaTheme="minorEastAsia" w:hAnsiTheme="minorEastAsia" w:cs="ＭＳ Ｐゴシック" w:hint="eastAsia"/>
                <w:color w:val="000000"/>
                <w:kern w:val="0"/>
                <w:szCs w:val="21"/>
              </w:rPr>
              <w:t>⑧特徴的な取組み</w:t>
            </w:r>
          </w:p>
        </w:tc>
        <w:tc>
          <w:tcPr>
            <w:tcW w:w="6803" w:type="dxa"/>
            <w:shd w:val="clear" w:color="auto" w:fill="auto"/>
            <w:noWrap/>
            <w:vAlign w:val="center"/>
            <w:hideMark/>
          </w:tcPr>
          <w:p w:rsidR="001A75B8" w:rsidRPr="00DC2606" w:rsidRDefault="001A75B8" w:rsidP="00B21A90">
            <w:pPr>
              <w:widowControl/>
              <w:jc w:val="left"/>
              <w:rPr>
                <w:rFonts w:asciiTheme="minorEastAsia" w:eastAsiaTheme="minorEastAsia" w:hAnsiTheme="minorEastAsia" w:cs="ＭＳ Ｐゴシック"/>
                <w:color w:val="000000"/>
                <w:kern w:val="0"/>
                <w:szCs w:val="21"/>
              </w:rPr>
            </w:pPr>
          </w:p>
        </w:tc>
      </w:tr>
    </w:tbl>
    <w:p w:rsidR="00647E26" w:rsidRDefault="004031AE" w:rsidP="004031AE">
      <w:pPr>
        <w:jc w:val="right"/>
      </w:pPr>
      <w:r>
        <w:rPr>
          <w:rFonts w:hint="eastAsia"/>
        </w:rPr>
        <w:t>※宣言対象企業：上記①～⑧を４つ以上実施し、加えてモデル的な取組みのある企業</w:t>
      </w:r>
    </w:p>
    <w:p w:rsidR="00647E26" w:rsidRDefault="00647E26">
      <w:pPr>
        <w:widowControl/>
        <w:jc w:val="left"/>
      </w:pPr>
      <w:r>
        <w:br w:type="page"/>
      </w:r>
    </w:p>
    <w:p w:rsidR="004031AE" w:rsidRDefault="00B4434C" w:rsidP="00647E26">
      <w:pPr>
        <w:jc w:val="left"/>
      </w:pPr>
      <w:r>
        <w:rPr>
          <w:rFonts w:hint="eastAsia"/>
        </w:rPr>
        <w:lastRenderedPageBreak/>
        <w:t>【</w:t>
      </w:r>
      <w:r>
        <w:rPr>
          <w:rFonts w:hint="eastAsia"/>
          <w:sz w:val="22"/>
        </w:rPr>
        <w:t>参考：協定の対象となる企業活動</w:t>
      </w:r>
      <w:r>
        <w:rPr>
          <w:rFonts w:hint="eastAsia"/>
        </w:rPr>
        <w:t>】</w:t>
      </w:r>
    </w:p>
    <w:tbl>
      <w:tblPr>
        <w:tblStyle w:val="a7"/>
        <w:tblW w:w="0" w:type="auto"/>
        <w:jc w:val="center"/>
        <w:tblInd w:w="318" w:type="dxa"/>
        <w:tblLook w:val="04A0"/>
      </w:tblPr>
      <w:tblGrid>
        <w:gridCol w:w="2551"/>
        <w:gridCol w:w="6803"/>
      </w:tblGrid>
      <w:tr w:rsidR="00B4434C" w:rsidRPr="00B4434C" w:rsidTr="00B4434C">
        <w:trPr>
          <w:jc w:val="center"/>
        </w:trPr>
        <w:tc>
          <w:tcPr>
            <w:tcW w:w="2551" w:type="dxa"/>
            <w:shd w:val="clear" w:color="auto" w:fill="auto"/>
          </w:tcPr>
          <w:p w:rsidR="00B4434C" w:rsidRPr="002542BF" w:rsidRDefault="00B4434C" w:rsidP="003362F1">
            <w:pPr>
              <w:jc w:val="center"/>
              <w:rPr>
                <w:rFonts w:asciiTheme="minorEastAsia" w:hAnsiTheme="minorEastAsia"/>
                <w:szCs w:val="21"/>
              </w:rPr>
            </w:pPr>
            <w:r w:rsidRPr="002542BF">
              <w:rPr>
                <w:rFonts w:asciiTheme="minorEastAsia" w:hAnsiTheme="minorEastAsia" w:hint="eastAsia"/>
                <w:szCs w:val="21"/>
              </w:rPr>
              <w:t>企業活動</w:t>
            </w:r>
          </w:p>
        </w:tc>
        <w:tc>
          <w:tcPr>
            <w:tcW w:w="6803" w:type="dxa"/>
            <w:shd w:val="clear" w:color="auto" w:fill="auto"/>
          </w:tcPr>
          <w:p w:rsidR="00B4434C" w:rsidRPr="002542BF" w:rsidRDefault="00B4434C" w:rsidP="003362F1">
            <w:pPr>
              <w:jc w:val="center"/>
              <w:rPr>
                <w:rFonts w:asciiTheme="minorEastAsia" w:hAnsiTheme="minorEastAsia"/>
                <w:szCs w:val="21"/>
              </w:rPr>
            </w:pPr>
            <w:r w:rsidRPr="002542BF">
              <w:rPr>
                <w:rFonts w:asciiTheme="minorEastAsia" w:hAnsiTheme="minorEastAsia" w:hint="eastAsia"/>
                <w:szCs w:val="21"/>
              </w:rPr>
              <w:t>内容など</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①短時間勤務（ワークタイムシフト）</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法律で３歳未満の子を持つ労働者について短時間勤務の措置を講じることが企業に義務付け。</w:t>
            </w:r>
          </w:p>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【パターン例】</w:t>
            </w:r>
          </w:p>
          <w:p w:rsidR="002542BF" w:rsidRPr="002542BF" w:rsidRDefault="002542BF" w:rsidP="002542BF">
            <w:pPr>
              <w:ind w:firstLineChars="100" w:firstLine="210"/>
              <w:rPr>
                <w:rFonts w:asciiTheme="minorEastAsia" w:hAnsiTheme="minorEastAsia"/>
                <w:szCs w:val="21"/>
              </w:rPr>
            </w:pPr>
            <w:r w:rsidRPr="002542BF">
              <w:rPr>
                <w:rFonts w:asciiTheme="minorEastAsia" w:hAnsiTheme="minorEastAsia" w:hint="eastAsia"/>
                <w:szCs w:val="21"/>
              </w:rPr>
              <w:t>①退勤時間を２時間早める</w:t>
            </w:r>
          </w:p>
          <w:p w:rsidR="002542BF" w:rsidRPr="002542BF" w:rsidRDefault="002542BF" w:rsidP="002542BF">
            <w:pPr>
              <w:ind w:firstLineChars="100" w:firstLine="210"/>
              <w:rPr>
                <w:rFonts w:asciiTheme="minorEastAsia" w:hAnsiTheme="minorEastAsia"/>
                <w:szCs w:val="21"/>
              </w:rPr>
            </w:pPr>
            <w:r w:rsidRPr="002542BF">
              <w:rPr>
                <w:rFonts w:asciiTheme="minorEastAsia" w:hAnsiTheme="minorEastAsia" w:hint="eastAsia"/>
                <w:szCs w:val="21"/>
              </w:rPr>
              <w:t>②出勤を1時間遅らせ退勤時間を1時間早める</w:t>
            </w:r>
          </w:p>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 xml:space="preserve">　③週３日の隔日勤務　　など</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②フレックスタイム制度</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１か月の労働時間を定め１日の労働時間は固定せず出勤日ごとに時間を決定。</w:t>
            </w:r>
          </w:p>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（改正育児・介護休業法により企業の努力義務）</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③育児目的休暇</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子どもの通院や看護、健診のための休暇など、育児に関する休暇制度</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④離職者の再雇用制度</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出産後の継続的なキャリア形成、正社員への登用</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⑤在宅勤務</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オンライン事務や電子会議を取り入れた働き方</w:t>
            </w:r>
          </w:p>
        </w:tc>
      </w:tr>
      <w:tr w:rsidR="002542BF" w:rsidRPr="00B4434C" w:rsidTr="00307E76">
        <w:trPr>
          <w:jc w:val="center"/>
        </w:trPr>
        <w:tc>
          <w:tcPr>
            <w:tcW w:w="2551" w:type="dxa"/>
            <w:shd w:val="clear" w:color="auto" w:fill="auto"/>
            <w:vAlign w:val="center"/>
          </w:tcPr>
          <w:p w:rsidR="002542BF" w:rsidRPr="002542BF" w:rsidRDefault="002542BF" w:rsidP="003362F1">
            <w:pPr>
              <w:widowControl/>
              <w:jc w:val="left"/>
              <w:rPr>
                <w:rFonts w:asciiTheme="minorEastAsia" w:hAnsiTheme="minorEastAsia" w:cs="ＭＳ Ｐゴシック"/>
                <w:color w:val="000000"/>
                <w:kern w:val="0"/>
                <w:szCs w:val="21"/>
              </w:rPr>
            </w:pPr>
            <w:r w:rsidRPr="002542BF">
              <w:rPr>
                <w:rFonts w:asciiTheme="minorEastAsia" w:hAnsiTheme="minorEastAsia" w:cs="ＭＳ Ｐゴシック" w:hint="eastAsia"/>
                <w:color w:val="000000"/>
                <w:kern w:val="0"/>
                <w:szCs w:val="21"/>
              </w:rPr>
              <w:t>⑥男性の育児参加を促す取組</w:t>
            </w:r>
          </w:p>
        </w:tc>
        <w:tc>
          <w:tcPr>
            <w:tcW w:w="6803" w:type="dxa"/>
            <w:shd w:val="clear" w:color="auto" w:fill="auto"/>
          </w:tcPr>
          <w:p w:rsidR="002542BF" w:rsidRPr="002542BF" w:rsidRDefault="002542BF" w:rsidP="003362F1">
            <w:pPr>
              <w:rPr>
                <w:rFonts w:asciiTheme="minorEastAsia" w:hAnsiTheme="minorEastAsia"/>
                <w:szCs w:val="21"/>
              </w:rPr>
            </w:pPr>
            <w:r w:rsidRPr="002542BF">
              <w:rPr>
                <w:rFonts w:asciiTheme="minorEastAsia" w:hAnsiTheme="minorEastAsia" w:hint="eastAsia"/>
                <w:szCs w:val="21"/>
              </w:rPr>
              <w:t>出産立ち会いや育児休暇取得、残業の免除、イクメン・イクボス表彰　など</w:t>
            </w:r>
          </w:p>
        </w:tc>
      </w:tr>
      <w:tr w:rsidR="00B4434C" w:rsidRPr="00B4434C" w:rsidTr="00B4434C">
        <w:trPr>
          <w:jc w:val="center"/>
        </w:trPr>
        <w:tc>
          <w:tcPr>
            <w:tcW w:w="2551" w:type="dxa"/>
            <w:shd w:val="clear" w:color="auto" w:fill="auto"/>
          </w:tcPr>
          <w:p w:rsidR="00B4434C" w:rsidRPr="002542BF" w:rsidRDefault="00B4434C" w:rsidP="003362F1">
            <w:pPr>
              <w:rPr>
                <w:rFonts w:asciiTheme="minorEastAsia" w:hAnsiTheme="minorEastAsia"/>
                <w:szCs w:val="21"/>
              </w:rPr>
            </w:pPr>
            <w:r w:rsidRPr="002542BF">
              <w:rPr>
                <w:rFonts w:asciiTheme="minorEastAsia" w:hAnsiTheme="minorEastAsia" w:hint="eastAsia"/>
                <w:szCs w:val="21"/>
              </w:rPr>
              <w:t xml:space="preserve">⑦ハラスメント防止の取組　</w:t>
            </w:r>
          </w:p>
        </w:tc>
        <w:tc>
          <w:tcPr>
            <w:tcW w:w="6803" w:type="dxa"/>
            <w:shd w:val="clear" w:color="auto" w:fill="auto"/>
          </w:tcPr>
          <w:p w:rsidR="00B4434C" w:rsidRPr="002542BF" w:rsidRDefault="00B4434C" w:rsidP="003362F1">
            <w:pPr>
              <w:rPr>
                <w:rFonts w:asciiTheme="minorEastAsia" w:hAnsiTheme="minorEastAsia"/>
                <w:szCs w:val="21"/>
              </w:rPr>
            </w:pPr>
            <w:r w:rsidRPr="002542BF">
              <w:rPr>
                <w:rFonts w:asciiTheme="minorEastAsia" w:hAnsiTheme="minorEastAsia" w:hint="eastAsia"/>
                <w:szCs w:val="21"/>
              </w:rPr>
              <w:t>制度を社員に周知し理解を深める</w:t>
            </w:r>
          </w:p>
        </w:tc>
      </w:tr>
    </w:tbl>
    <w:p w:rsidR="00B4434C" w:rsidRDefault="00B4434C" w:rsidP="00647E26">
      <w:pPr>
        <w:jc w:val="left"/>
        <w:rPr>
          <w:rFonts w:hint="eastAsia"/>
        </w:rPr>
      </w:pPr>
    </w:p>
    <w:p w:rsidR="00D56C24" w:rsidRDefault="00D56C24" w:rsidP="00647E26">
      <w:pPr>
        <w:jc w:val="left"/>
        <w:rPr>
          <w:rFonts w:hint="eastAsia"/>
        </w:rPr>
      </w:pPr>
    </w:p>
    <w:p w:rsidR="00D56C24" w:rsidRDefault="00D56C24" w:rsidP="00647E26">
      <w:pPr>
        <w:jc w:val="left"/>
        <w:rPr>
          <w:rFonts w:hint="eastAsia"/>
        </w:rPr>
      </w:pPr>
      <w:r>
        <w:rPr>
          <w:rFonts w:hint="eastAsia"/>
        </w:rPr>
        <w:t>○協定による町の支援</w:t>
      </w:r>
    </w:p>
    <w:p w:rsidR="00D56C24" w:rsidRDefault="00D56C24" w:rsidP="00D56C24">
      <w:pPr>
        <w:jc w:val="left"/>
        <w:rPr>
          <w:rFonts w:hint="eastAsia"/>
        </w:rPr>
      </w:pPr>
      <w:r>
        <w:rPr>
          <w:rFonts w:hint="eastAsia"/>
        </w:rPr>
        <w:t>・協定証の交付、協定マークの使用（名刺や印刷物、求人広告など）</w:t>
      </w:r>
    </w:p>
    <w:p w:rsidR="00D56C24" w:rsidRDefault="00D56C24" w:rsidP="00647E26">
      <w:pPr>
        <w:jc w:val="left"/>
        <w:rPr>
          <w:rFonts w:hint="eastAsia"/>
        </w:rPr>
      </w:pPr>
      <w:r>
        <w:rPr>
          <w:rFonts w:hint="eastAsia"/>
        </w:rPr>
        <w:t>・町公式</w:t>
      </w:r>
      <w:r>
        <w:rPr>
          <w:rFonts w:hint="eastAsia"/>
        </w:rPr>
        <w:t>WEB</w:t>
      </w:r>
      <w:r>
        <w:rPr>
          <w:rFonts w:hint="eastAsia"/>
        </w:rPr>
        <w:t>サイト、広報誌等での紹介</w:t>
      </w:r>
    </w:p>
    <w:p w:rsidR="00D56C24" w:rsidRDefault="00D56C24" w:rsidP="00647E26">
      <w:pPr>
        <w:jc w:val="left"/>
        <w:rPr>
          <w:rFonts w:hint="eastAsia"/>
        </w:rPr>
      </w:pPr>
      <w:r>
        <w:rPr>
          <w:rFonts w:hint="eastAsia"/>
        </w:rPr>
        <w:t>・町民ライターによる</w:t>
      </w:r>
      <w:r>
        <w:rPr>
          <w:rFonts w:hint="eastAsia"/>
        </w:rPr>
        <w:t>IIJIMANOTE</w:t>
      </w:r>
      <w:r>
        <w:rPr>
          <w:rFonts w:hint="eastAsia"/>
        </w:rPr>
        <w:t>移住情報サイトでの紹介</w:t>
      </w:r>
    </w:p>
    <w:p w:rsidR="00D56C24" w:rsidRPr="00184AFD" w:rsidRDefault="00626856" w:rsidP="00D56C24">
      <w:pPr>
        <w:jc w:val="left"/>
      </w:pPr>
      <w:r>
        <w:rPr>
          <w:noProof/>
        </w:rPr>
        <w:pict>
          <v:shapetype id="_x0000_t202" coordsize="21600,21600" o:spt="202" path="m,l,21600r21600,l21600,xe">
            <v:stroke joinstyle="miter"/>
            <v:path gradientshapeok="t" o:connecttype="rect"/>
          </v:shapetype>
          <v:shape id="_x0000_s1026" type="#_x0000_t202" style="position:absolute;margin-left:304.45pt;margin-top:249.75pt;width:194.85pt;height:25.2pt;z-index:251660288;mso-width-percent:400;mso-height-percent:200;mso-width-percent:400;mso-height-percent:200;mso-width-relative:margin;mso-height-relative:margin" filled="f" stroked="f">
            <v:textbox style="mso-fit-shape-to-text:t">
              <w:txbxContent>
                <w:p w:rsidR="00626856" w:rsidRPr="00626856" w:rsidRDefault="00626856" w:rsidP="00886ADA">
                  <w:pPr>
                    <w:jc w:val="center"/>
                    <w:rPr>
                      <w:sz w:val="16"/>
                      <w:szCs w:val="20"/>
                    </w:rPr>
                  </w:pPr>
                  <w:r w:rsidRPr="00626856">
                    <w:rPr>
                      <w:rFonts w:hint="eastAsia"/>
                      <w:sz w:val="16"/>
                      <w:szCs w:val="20"/>
                    </w:rPr>
                    <w:t>【子育てワークスタイル推進企業宣言マーク】</w:t>
                  </w:r>
                </w:p>
              </w:txbxContent>
            </v:textbox>
          </v:shape>
        </w:pict>
      </w:r>
      <w:r w:rsidR="00184AFD">
        <w:rPr>
          <w:rFonts w:hint="eastAsia"/>
          <w:noProof/>
        </w:rPr>
        <w:drawing>
          <wp:anchor distT="0" distB="0" distL="114300" distR="114300" simplePos="0" relativeHeight="251658240" behindDoc="0" locked="0" layoutInCell="1" allowOverlap="1">
            <wp:simplePos x="0" y="0"/>
            <wp:positionH relativeFrom="column">
              <wp:posOffset>3733800</wp:posOffset>
            </wp:positionH>
            <wp:positionV relativeFrom="paragraph">
              <wp:posOffset>1171575</wp:posOffset>
            </wp:positionV>
            <wp:extent cx="2486025" cy="2181225"/>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86025" cy="2181225"/>
                    </a:xfrm>
                    <a:prstGeom prst="rect">
                      <a:avLst/>
                    </a:prstGeom>
                    <a:noFill/>
                    <a:ln w="9525">
                      <a:noFill/>
                      <a:miter lim="800000"/>
                      <a:headEnd/>
                      <a:tailEnd/>
                    </a:ln>
                  </pic:spPr>
                </pic:pic>
              </a:graphicData>
            </a:graphic>
          </wp:anchor>
        </w:drawing>
      </w:r>
      <w:r w:rsidR="00D56C24">
        <w:rPr>
          <w:rFonts w:hint="eastAsia"/>
        </w:rPr>
        <w:t>・成人式やセミナー等で企業の紹介など</w:t>
      </w:r>
    </w:p>
    <w:sectPr w:rsidR="00D56C24" w:rsidRPr="00184AFD" w:rsidSect="0067725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51" w:rsidRDefault="000F3051" w:rsidP="004A59EE">
      <w:r>
        <w:separator/>
      </w:r>
    </w:p>
  </w:endnote>
  <w:endnote w:type="continuationSeparator" w:id="0">
    <w:p w:rsidR="000F3051" w:rsidRDefault="000F3051" w:rsidP="004A59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51" w:rsidRDefault="000F3051" w:rsidP="004A59EE">
      <w:r>
        <w:separator/>
      </w:r>
    </w:p>
  </w:footnote>
  <w:footnote w:type="continuationSeparator" w:id="0">
    <w:p w:rsidR="000F3051" w:rsidRDefault="000F3051" w:rsidP="004A5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E88"/>
    <w:rsid w:val="000517EE"/>
    <w:rsid w:val="000568CC"/>
    <w:rsid w:val="000D3899"/>
    <w:rsid w:val="000F3051"/>
    <w:rsid w:val="001206D1"/>
    <w:rsid w:val="00184AFD"/>
    <w:rsid w:val="001A75B8"/>
    <w:rsid w:val="002542BF"/>
    <w:rsid w:val="00283E88"/>
    <w:rsid w:val="00304F62"/>
    <w:rsid w:val="003A1F62"/>
    <w:rsid w:val="003E412F"/>
    <w:rsid w:val="004031AE"/>
    <w:rsid w:val="004A59EE"/>
    <w:rsid w:val="004D6A2F"/>
    <w:rsid w:val="00525A7A"/>
    <w:rsid w:val="005754C0"/>
    <w:rsid w:val="00624C4F"/>
    <w:rsid w:val="00626856"/>
    <w:rsid w:val="00647E26"/>
    <w:rsid w:val="00677253"/>
    <w:rsid w:val="0076506A"/>
    <w:rsid w:val="00766552"/>
    <w:rsid w:val="00792450"/>
    <w:rsid w:val="007D0347"/>
    <w:rsid w:val="00886ADA"/>
    <w:rsid w:val="00890484"/>
    <w:rsid w:val="00986D36"/>
    <w:rsid w:val="009B551D"/>
    <w:rsid w:val="00A11674"/>
    <w:rsid w:val="00A81E7E"/>
    <w:rsid w:val="00AC7E9D"/>
    <w:rsid w:val="00B26D41"/>
    <w:rsid w:val="00B4434C"/>
    <w:rsid w:val="00BE44A8"/>
    <w:rsid w:val="00C20FEB"/>
    <w:rsid w:val="00D07600"/>
    <w:rsid w:val="00D56C24"/>
    <w:rsid w:val="00DC2606"/>
    <w:rsid w:val="00E47F47"/>
    <w:rsid w:val="00EC3DD3"/>
    <w:rsid w:val="00F168F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9EE"/>
    <w:pPr>
      <w:tabs>
        <w:tab w:val="center" w:pos="4252"/>
        <w:tab w:val="right" w:pos="8504"/>
      </w:tabs>
      <w:snapToGrid w:val="0"/>
    </w:pPr>
  </w:style>
  <w:style w:type="character" w:customStyle="1" w:styleId="a4">
    <w:name w:val="ヘッダー (文字)"/>
    <w:basedOn w:val="a0"/>
    <w:link w:val="a3"/>
    <w:uiPriority w:val="99"/>
    <w:semiHidden/>
    <w:rsid w:val="004A59EE"/>
    <w:rPr>
      <w:kern w:val="2"/>
      <w:sz w:val="21"/>
      <w:szCs w:val="24"/>
    </w:rPr>
  </w:style>
  <w:style w:type="paragraph" w:styleId="a5">
    <w:name w:val="footer"/>
    <w:basedOn w:val="a"/>
    <w:link w:val="a6"/>
    <w:uiPriority w:val="99"/>
    <w:semiHidden/>
    <w:unhideWhenUsed/>
    <w:rsid w:val="004A59EE"/>
    <w:pPr>
      <w:tabs>
        <w:tab w:val="center" w:pos="4252"/>
        <w:tab w:val="right" w:pos="8504"/>
      </w:tabs>
      <w:snapToGrid w:val="0"/>
    </w:pPr>
  </w:style>
  <w:style w:type="character" w:customStyle="1" w:styleId="a6">
    <w:name w:val="フッター (文字)"/>
    <w:basedOn w:val="a0"/>
    <w:link w:val="a5"/>
    <w:uiPriority w:val="99"/>
    <w:semiHidden/>
    <w:rsid w:val="004A59EE"/>
    <w:rPr>
      <w:kern w:val="2"/>
      <w:sz w:val="21"/>
      <w:szCs w:val="24"/>
    </w:rPr>
  </w:style>
  <w:style w:type="table" w:styleId="a7">
    <w:name w:val="Table Grid"/>
    <w:basedOn w:val="a1"/>
    <w:uiPriority w:val="59"/>
    <w:rsid w:val="00B4434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84A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AF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5336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D4DEF-6F4E-4DDC-86EC-E587E07F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naoki.k</dc:creator>
  <cp:lastModifiedBy>naoki.k</cp:lastModifiedBy>
  <cp:revision>29</cp:revision>
  <cp:lastPrinted>2021-12-23T05:56:00Z</cp:lastPrinted>
  <dcterms:created xsi:type="dcterms:W3CDTF">2021-12-22T07:40:00Z</dcterms:created>
  <dcterms:modified xsi:type="dcterms:W3CDTF">2021-12-23T05:56:00Z</dcterms:modified>
</cp:coreProperties>
</file>